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C67DD7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ИНОСТРАННЫЙ ЯЗЫК</w:t>
      </w:r>
      <w:r w:rsidR="00254DDC">
        <w:rPr>
          <w:b/>
          <w:bCs/>
          <w:sz w:val="28"/>
          <w:szCs w:val="28"/>
        </w:rPr>
        <w:t xml:space="preserve"> В СФЕРЕ ЮРИСПРУДЕНЦИИ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C67DD7">
        <w:rPr>
          <w:i/>
          <w:sz w:val="28"/>
          <w:szCs w:val="28"/>
          <w:u w:val="single"/>
        </w:rPr>
        <w:t>24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>Философия, история 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>Протокол от  «</w:t>
      </w:r>
      <w:r w:rsidR="00C67DD7">
        <w:rPr>
          <w:sz w:val="28"/>
          <w:szCs w:val="28"/>
        </w:rPr>
        <w:t>30</w:t>
      </w:r>
      <w:r>
        <w:rPr>
          <w:sz w:val="28"/>
          <w:szCs w:val="28"/>
        </w:rPr>
        <w:t xml:space="preserve">»  июня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Pr="00E753B7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667F42" w:rsidRPr="00356F32" w:rsidRDefault="006C6727" w:rsidP="00356F32">
      <w:pPr>
        <w:pStyle w:val="1"/>
        <w:ind w:firstLine="709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="00C67DD7" w:rsidRPr="00C67DD7">
        <w:rPr>
          <w:bCs/>
          <w:color w:val="000000"/>
          <w:sz w:val="28"/>
          <w:szCs w:val="28"/>
        </w:rPr>
        <w:t xml:space="preserve">Танцура, Т. А., Английский в сфере юриспруденции = English for Law Students : учебное пособие / Т. А. Танцура, М. В. Алисевич. — Москва : КноРус, 2025. — 163 с.— URL: </w:t>
      </w:r>
      <w:hyperlink r:id="rId8" w:history="1">
        <w:r w:rsidR="00C67DD7" w:rsidRPr="00C67DD7">
          <w:rPr>
            <w:rStyle w:val="ab"/>
            <w:bCs/>
            <w:sz w:val="28"/>
            <w:szCs w:val="28"/>
          </w:rPr>
          <w:t>https://book.ru/book/956562</w:t>
        </w:r>
      </w:hyperlink>
      <w:r>
        <w:rPr>
          <w:color w:val="000000"/>
          <w:sz w:val="28"/>
          <w:szCs w:val="28"/>
        </w:rPr>
        <w:t xml:space="preserve">    </w:t>
      </w:r>
    </w:p>
    <w:p w:rsidR="006C6727" w:rsidRDefault="006C6727" w:rsidP="00254DDC">
      <w:pPr>
        <w:pStyle w:val="a5"/>
        <w:spacing w:after="0"/>
        <w:jc w:val="both"/>
        <w:rPr>
          <w:color w:val="000000"/>
          <w:szCs w:val="28"/>
        </w:rPr>
      </w:pPr>
    </w:p>
    <w:p w:rsidR="006C6727" w:rsidRPr="00356F32" w:rsidRDefault="006C6727" w:rsidP="006C6727">
      <w:pPr>
        <w:pStyle w:val="1"/>
        <w:ind w:firstLine="709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254DDC" w:rsidRDefault="00254DDC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C6727">
        <w:rPr>
          <w:color w:val="000000"/>
          <w:sz w:val="28"/>
          <w:szCs w:val="28"/>
        </w:rPr>
        <w:t xml:space="preserve">. </w:t>
      </w:r>
      <w:r w:rsidRPr="00254DDC">
        <w:rPr>
          <w:bCs/>
          <w:color w:val="000000"/>
          <w:sz w:val="28"/>
          <w:szCs w:val="28"/>
        </w:rPr>
        <w:t>Английский язык для юристов. English in Law : учебник для вузов / С. Ю. Рубцова, В. В. Шарова, Т. А. Винникова, О. В. Пржигодзкая ; под общей редакцией С. Ю. Рубцовой. — Москва : Издательство Юрайт, 2023. — 213 с. — URL: </w:t>
      </w:r>
      <w:hyperlink r:id="rId9" w:history="1">
        <w:r w:rsidRPr="00254DDC">
          <w:rPr>
            <w:rStyle w:val="ab"/>
            <w:bCs/>
            <w:sz w:val="28"/>
            <w:szCs w:val="28"/>
          </w:rPr>
          <w:t>https://urait.ru/bcode/510955</w:t>
        </w:r>
      </w:hyperlink>
    </w:p>
    <w:p w:rsidR="006C6727" w:rsidRPr="006C6727" w:rsidRDefault="00254DDC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bookmarkStart w:id="1" w:name="_GoBack"/>
      <w:bookmarkEnd w:id="1"/>
      <w:r>
        <w:rPr>
          <w:bCs/>
          <w:color w:val="000000"/>
          <w:sz w:val="28"/>
          <w:szCs w:val="28"/>
        </w:rPr>
        <w:t xml:space="preserve">. </w:t>
      </w:r>
      <w:r w:rsidRPr="00254DDC">
        <w:rPr>
          <w:bCs/>
          <w:color w:val="000000"/>
          <w:sz w:val="28"/>
          <w:szCs w:val="28"/>
        </w:rPr>
        <w:t xml:space="preserve">Танцура, Т. А., Business English for Lawyers. : учебное пособие / Т. А. Танцура, М. В. Мельничук, П. П. Ростовцева, ; под ред. Т. А. Танцуры. — Москва : КноРус, 2021. — 209 с.— URL: </w:t>
      </w:r>
      <w:hyperlink r:id="rId10" w:history="1">
        <w:r w:rsidRPr="00254DDC">
          <w:rPr>
            <w:rStyle w:val="ab"/>
            <w:bCs/>
            <w:sz w:val="28"/>
            <w:szCs w:val="28"/>
          </w:rPr>
          <w:t>https://book.ru/book/941547</w:t>
        </w:r>
      </w:hyperlink>
      <w:r w:rsidRPr="00254DDC">
        <w:rPr>
          <w:bCs/>
          <w:color w:val="000000"/>
          <w:sz w:val="28"/>
          <w:szCs w:val="28"/>
        </w:rPr>
        <w:t xml:space="preserve">   </w:t>
      </w:r>
      <w:r w:rsidR="00555FE7" w:rsidRPr="00555FE7">
        <w:rPr>
          <w:bCs/>
          <w:color w:val="000000"/>
          <w:sz w:val="28"/>
          <w:szCs w:val="28"/>
        </w:rPr>
        <w:t xml:space="preserve"> </w:t>
      </w:r>
      <w:r w:rsidR="006C6727" w:rsidRPr="006C6727">
        <w:rPr>
          <w:color w:val="000000"/>
          <w:sz w:val="28"/>
          <w:szCs w:val="28"/>
        </w:rPr>
        <w:t xml:space="preserve">  </w:t>
      </w:r>
      <w:r w:rsidR="006C6727" w:rsidRPr="006C6727">
        <w:rPr>
          <w:color w:val="000000"/>
          <w:sz w:val="28"/>
          <w:szCs w:val="28"/>
        </w:rPr>
        <w:cr/>
      </w:r>
    </w:p>
    <w:p w:rsidR="00667F42" w:rsidRPr="003D3F16" w:rsidRDefault="00667F42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 w:rsidRPr="003D3F16">
        <w:rPr>
          <w:b/>
          <w:sz w:val="28"/>
          <w:szCs w:val="28"/>
        </w:rPr>
        <w:t>9. Перечень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ресурсов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информационно-телекоммуникационной</w:t>
      </w:r>
      <w:r w:rsidRPr="003D3F16">
        <w:rPr>
          <w:b/>
          <w:spacing w:val="111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сети «Интернет»,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необходимых</w:t>
      </w:r>
      <w:r w:rsidRPr="003D3F16">
        <w:rPr>
          <w:b/>
          <w:spacing w:val="-2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для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освоения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дисциплины</w:t>
      </w:r>
    </w:p>
    <w:p w:rsidR="006C6727" w:rsidRPr="00555FE7" w:rsidRDefault="00555FE7" w:rsidP="00555FE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2" w:name="_bookmark14"/>
      <w:bookmarkEnd w:id="2"/>
      <w:r>
        <w:t xml:space="preserve"> </w:t>
      </w:r>
      <w:r w:rsidR="00667F42" w:rsidRPr="0071152C">
        <w:t>1</w:t>
      </w:r>
      <w:r w:rsidR="00667F42" w:rsidRPr="006C6727">
        <w:rPr>
          <w:sz w:val="28"/>
          <w:szCs w:val="28"/>
        </w:rPr>
        <w:t>.</w:t>
      </w:r>
      <w:r w:rsidR="006C6727" w:rsidRPr="006C6727">
        <w:rPr>
          <w:sz w:val="28"/>
          <w:szCs w:val="28"/>
        </w:rPr>
        <w:t xml:space="preserve"> </w:t>
      </w:r>
      <w:r w:rsidRPr="00045ECE">
        <w:rPr>
          <w:rFonts w:eastAsiaTheme="minorHAnsi"/>
          <w:sz w:val="28"/>
          <w:szCs w:val="28"/>
          <w:lang w:val="en-US" w:eastAsia="en-US"/>
        </w:rPr>
        <w:t>https</w:t>
      </w:r>
      <w:r w:rsidRPr="00555FE7">
        <w:rPr>
          <w:rFonts w:eastAsiaTheme="minorHAnsi"/>
          <w:sz w:val="28"/>
          <w:szCs w:val="28"/>
          <w:lang w:eastAsia="en-US"/>
        </w:rPr>
        <w:t>://</w:t>
      </w:r>
      <w:r w:rsidRPr="00045ECE">
        <w:rPr>
          <w:rFonts w:eastAsiaTheme="minorHAnsi"/>
          <w:sz w:val="28"/>
          <w:szCs w:val="28"/>
          <w:lang w:val="en-US" w:eastAsia="en-US"/>
        </w:rPr>
        <w:t>org</w:t>
      </w:r>
      <w:r w:rsidRPr="00555FE7">
        <w:rPr>
          <w:rFonts w:eastAsiaTheme="minorHAnsi"/>
          <w:sz w:val="28"/>
          <w:szCs w:val="28"/>
          <w:lang w:eastAsia="en-US"/>
        </w:rPr>
        <w:t>.</w:t>
      </w:r>
      <w:r w:rsidRPr="00045ECE">
        <w:rPr>
          <w:rFonts w:eastAsiaTheme="minorHAnsi"/>
          <w:sz w:val="28"/>
          <w:szCs w:val="28"/>
          <w:lang w:val="en-US" w:eastAsia="en-US"/>
        </w:rPr>
        <w:t>fa</w:t>
      </w:r>
      <w:r w:rsidRPr="00555FE7">
        <w:rPr>
          <w:rFonts w:eastAsiaTheme="minorHAnsi"/>
          <w:sz w:val="28"/>
          <w:szCs w:val="28"/>
          <w:lang w:eastAsia="en-US"/>
        </w:rPr>
        <w:t>.</w:t>
      </w:r>
      <w:r w:rsidRPr="00045ECE">
        <w:rPr>
          <w:rFonts w:eastAsiaTheme="minorHAnsi"/>
          <w:sz w:val="28"/>
          <w:szCs w:val="28"/>
          <w:lang w:val="en-US" w:eastAsia="en-US"/>
        </w:rPr>
        <w:t>ru</w:t>
      </w:r>
      <w:r w:rsidRPr="00555FE7">
        <w:rPr>
          <w:rFonts w:eastAsiaTheme="minorHAnsi"/>
          <w:sz w:val="28"/>
          <w:szCs w:val="28"/>
          <w:lang w:eastAsia="en-US"/>
        </w:rPr>
        <w:t>/</w:t>
      </w:r>
    </w:p>
    <w:p w:rsidR="006C6727" w:rsidRPr="006C6727" w:rsidRDefault="006C6727" w:rsidP="00555FE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2. </w:t>
      </w:r>
      <w:r w:rsidR="00555FE7" w:rsidRPr="00756660">
        <w:rPr>
          <w:rFonts w:eastAsiaTheme="minorHAnsi"/>
          <w:sz w:val="28"/>
          <w:szCs w:val="28"/>
          <w:lang w:eastAsia="en-US"/>
        </w:rPr>
        <w:t>Электронно-библиотечная система BOOK.RU http://www.book.ru</w:t>
      </w:r>
      <w:r w:rsidRPr="006C6727">
        <w:rPr>
          <w:sz w:val="28"/>
          <w:szCs w:val="28"/>
        </w:rPr>
        <w:t>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3. </w:t>
      </w:r>
      <w:r w:rsidR="00555FE7" w:rsidRPr="00756660">
        <w:rPr>
          <w:rFonts w:eastAsiaTheme="minorHAnsi"/>
          <w:sz w:val="28"/>
          <w:szCs w:val="28"/>
          <w:lang w:eastAsia="en-US"/>
        </w:rPr>
        <w:t>Электронно-библиотечная система «Университетская библиотека ОНЛАЙН» http://biblioclub.ru/</w:t>
      </w:r>
      <w:r w:rsidRPr="006C6727">
        <w:rPr>
          <w:sz w:val="28"/>
          <w:szCs w:val="28"/>
        </w:rPr>
        <w:t>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4. </w:t>
      </w:r>
      <w:r w:rsidR="00555FE7" w:rsidRPr="00756660">
        <w:rPr>
          <w:rFonts w:eastAsiaTheme="minorHAnsi"/>
          <w:sz w:val="28"/>
          <w:szCs w:val="28"/>
          <w:lang w:eastAsia="en-US"/>
        </w:rPr>
        <w:t>Электронно-библиотечная система Znanium http://www.znanium.com</w:t>
      </w:r>
      <w:r w:rsidRPr="006C6727">
        <w:rPr>
          <w:sz w:val="28"/>
          <w:szCs w:val="28"/>
        </w:rPr>
        <w:t>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5. </w:t>
      </w:r>
      <w:r w:rsidR="00555FE7">
        <w:rPr>
          <w:rFonts w:eastAsiaTheme="minorHAnsi"/>
          <w:sz w:val="28"/>
          <w:szCs w:val="28"/>
          <w:lang w:eastAsia="en-US"/>
        </w:rPr>
        <w:t>Образовательная платформа</w:t>
      </w:r>
      <w:r w:rsidR="00555FE7" w:rsidRPr="00756660">
        <w:rPr>
          <w:rFonts w:eastAsiaTheme="minorHAnsi"/>
          <w:sz w:val="28"/>
          <w:szCs w:val="28"/>
          <w:lang w:eastAsia="en-US"/>
        </w:rPr>
        <w:t xml:space="preserve"> издательства «ЮРАЙТ» https://urait.ru/</w:t>
      </w:r>
      <w:r w:rsidRPr="006C6727">
        <w:rPr>
          <w:sz w:val="28"/>
          <w:szCs w:val="28"/>
        </w:rPr>
        <w:t>.</w:t>
      </w:r>
    </w:p>
    <w:p w:rsidR="006C6727" w:rsidRPr="006C6727" w:rsidRDefault="006C6727" w:rsidP="00555FE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6. Электронная библиотек</w:t>
      </w:r>
      <w:r>
        <w:rPr>
          <w:sz w:val="28"/>
          <w:szCs w:val="28"/>
        </w:rPr>
        <w:t xml:space="preserve">а Финансового университета (ЭБ) </w:t>
      </w:r>
      <w:r w:rsidRPr="006C6727">
        <w:rPr>
          <w:sz w:val="28"/>
          <w:szCs w:val="28"/>
        </w:rPr>
        <w:t>http://elib.fa.ru/</w:t>
      </w:r>
    </w:p>
    <w:p w:rsidR="00667F42" w:rsidRPr="006C6727" w:rsidRDefault="00555FE7" w:rsidP="006C67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C6727" w:rsidRPr="006C6727">
        <w:rPr>
          <w:sz w:val="28"/>
          <w:szCs w:val="28"/>
        </w:rPr>
        <w:t xml:space="preserve">. Научная электронная библиотека eLibrary.ru </w:t>
      </w:r>
      <w:hyperlink r:id="rId11" w:history="1">
        <w:r w:rsidR="006C6727" w:rsidRPr="006C6727">
          <w:rPr>
            <w:rStyle w:val="ab"/>
            <w:sz w:val="28"/>
            <w:szCs w:val="28"/>
          </w:rPr>
          <w:t>http://elibrary.ru</w:t>
        </w:r>
      </w:hyperlink>
      <w:r w:rsidR="006C6727" w:rsidRPr="006C6727">
        <w:rPr>
          <w:sz w:val="28"/>
          <w:szCs w:val="28"/>
        </w:rPr>
        <w:t>.</w:t>
      </w:r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 xml:space="preserve">Год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254DDC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C16816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E05A9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54DD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E05A9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54DD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E05A9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4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54DD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E05A9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5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1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5A9" w:rsidRDefault="00DE05A9">
      <w:r>
        <w:separator/>
      </w:r>
    </w:p>
  </w:endnote>
  <w:endnote w:type="continuationSeparator" w:id="0">
    <w:p w:rsidR="00DE05A9" w:rsidRDefault="00DE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4DDC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4DDC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5A9" w:rsidRDefault="00DE05A9">
      <w:r>
        <w:separator/>
      </w:r>
    </w:p>
  </w:footnote>
  <w:footnote w:type="continuationSeparator" w:id="0">
    <w:p w:rsidR="00DE05A9" w:rsidRDefault="00DE0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6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7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54DDC"/>
    <w:rsid w:val="002821F0"/>
    <w:rsid w:val="002C0DB4"/>
    <w:rsid w:val="00356F32"/>
    <w:rsid w:val="003D3F16"/>
    <w:rsid w:val="00451ADB"/>
    <w:rsid w:val="00453190"/>
    <w:rsid w:val="004E0E36"/>
    <w:rsid w:val="00555FE7"/>
    <w:rsid w:val="00565AC8"/>
    <w:rsid w:val="00614BD9"/>
    <w:rsid w:val="00667F42"/>
    <w:rsid w:val="006C6727"/>
    <w:rsid w:val="007B248D"/>
    <w:rsid w:val="007C3622"/>
    <w:rsid w:val="00823869"/>
    <w:rsid w:val="008320AC"/>
    <w:rsid w:val="008C397E"/>
    <w:rsid w:val="00A948CD"/>
    <w:rsid w:val="00AA7908"/>
    <w:rsid w:val="00C67DD7"/>
    <w:rsid w:val="00C95A2B"/>
    <w:rsid w:val="00D10F27"/>
    <w:rsid w:val="00DA7161"/>
    <w:rsid w:val="00DE05A9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6562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book.ru/book/9415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0955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8E123-9FA9-465D-9EF7-D7A83A89D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9</cp:revision>
  <dcterms:created xsi:type="dcterms:W3CDTF">2024-09-27T08:57:00Z</dcterms:created>
  <dcterms:modified xsi:type="dcterms:W3CDTF">2025-09-15T09:14:00Z</dcterms:modified>
</cp:coreProperties>
</file>